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4B87"/>
          <w:sz w:val="64"/>
        </w:rPr>
        <w:br/>
        <w:br/>
        <w:br/>
        <w:br/>
        <w:t>STATUTO</w:t>
      </w:r>
    </w:p>
    <w:p>
      <w:pPr>
        <w:jc w:val="center"/>
      </w:pPr>
      <w:r>
        <w:rPr>
          <w:sz w:val="28"/>
        </w:rPr>
        <w:br/>
        <w:t>di</w:t>
        <w:br/>
      </w:r>
    </w:p>
    <w:p>
      <w:pPr>
        <w:jc w:val="center"/>
      </w:pPr>
      <w:r>
        <w:rPr>
          <w:b/>
          <w:color w:val="004B87"/>
          <w:sz w:val="56"/>
        </w:rPr>
        <w:t>SAFUAYE</w:t>
      </w:r>
    </w:p>
    <w:p>
      <w:pPr>
        <w:jc w:val="center"/>
      </w:pPr>
      <w:r>
        <w:rPr>
          <w:i/>
          <w:sz w:val="26"/>
        </w:rPr>
        <w:br/>
        <w:t>Organizzazione di Beneficenza Incorporata (CIO)</w:t>
        <w:br/>
        <w:t>Modello « Associazione »</w:t>
      </w:r>
    </w:p>
    <w:p>
      <w:pPr>
        <w:jc w:val="center"/>
      </w:pPr>
      <w:r>
        <w:rPr>
          <w:i/>
          <w:sz w:val="20"/>
        </w:rPr>
        <w:br/>
        <w:br/>
        <w:br/>
        <w:br/>
        <w:t>Redatto in conformità con il modello ufficiale pubblicato dalla Charity Commission for England and Wales.</w:t>
        <w:br/>
        <w:t>⚠️ Traduzione italiana non ufficiale a titolo informativo. Solo la versione inglese fa fede presso la Charity Commission.</w:t>
      </w:r>
    </w:p>
    <w:p>
      <w:pPr>
        <w:jc w:val="center"/>
      </w:pPr>
      <w:r>
        <w:rPr>
          <w:sz w:val="22"/>
        </w:rPr>
        <w:br/>
        <w:t>Data di adozione : 19 aprile 2026</w:t>
      </w:r>
    </w:p>
    <w:p>
      <w:r>
        <w:br w:type="page"/>
      </w:r>
    </w:p>
    <w:p>
      <w:r>
        <w:rPr>
          <w:b/>
        </w:rPr>
        <w:t>Data dello statuto (ultima modifica) : 19 aprile 2026</w:t>
      </w:r>
    </w:p>
    <w:p>
      <w:pPr>
        <w:spacing w:before="200" w:after="80"/>
      </w:pPr>
      <w:r>
        <w:rPr>
          <w:b/>
          <w:color w:val="004B87"/>
          <w:sz w:val="28"/>
        </w:rPr>
        <w:t>1. Denominazione</w:t>
      </w:r>
    </w:p>
    <w:p>
      <w:pPr>
        <w:spacing w:after="80"/>
      </w:pPr>
      <w:r>
        <w:rPr>
          <w:b w:val="0"/>
          <w:i w:val="0"/>
        </w:rPr>
        <w:t xml:space="preserve">Il nome dell'Organizzazione di Beneficenza Incorporata (« la CIO ») è </w:t>
      </w:r>
      <w:r>
        <w:rPr>
          <w:b/>
          <w:i w:val="0"/>
        </w:rPr>
        <w:t>SAFUAYE</w:t>
      </w:r>
      <w:r>
        <w:rPr>
          <w:b w:val="0"/>
          <w:i w:val="0"/>
        </w:rPr>
        <w:t>.</w:t>
      </w:r>
    </w:p>
    <w:p>
      <w:pPr>
        <w:spacing w:before="200" w:after="80"/>
      </w:pPr>
      <w:r>
        <w:rPr>
          <w:b/>
          <w:color w:val="004B87"/>
          <w:sz w:val="28"/>
        </w:rPr>
        <w:t>2. Sede principale</w:t>
      </w:r>
    </w:p>
    <w:p>
      <w:pPr>
        <w:spacing w:after="80"/>
      </w:pPr>
      <w:r>
        <w:rPr>
          <w:b w:val="0"/>
          <w:i w:val="0"/>
        </w:rPr>
        <w:t xml:space="preserve">La sede principale della CIO si trova in </w:t>
      </w:r>
      <w:r>
        <w:rPr>
          <w:b/>
          <w:i w:val="0"/>
        </w:rPr>
        <w:t>Inghilterra</w:t>
      </w:r>
      <w:r>
        <w:rPr>
          <w:b w:val="0"/>
          <w:i w:val="0"/>
        </w:rPr>
        <w:t>.</w:t>
      </w:r>
    </w:p>
    <w:p>
      <w:pPr>
        <w:spacing w:before="200" w:after="80"/>
      </w:pPr>
      <w:r>
        <w:rPr>
          <w:b/>
          <w:color w:val="004B87"/>
          <w:sz w:val="28"/>
        </w:rPr>
        <w:t>3. Oggetto caritativo</w:t>
      </w:r>
    </w:p>
    <w:p>
      <w:pPr>
        <w:spacing w:after="80"/>
      </w:pPr>
      <w:r>
        <w:rPr>
          <w:b w:val="0"/>
          <w:i w:val="0"/>
        </w:rPr>
        <w:t>Gli oggetti della CIO sono, a beneficio del pubblico :</w:t>
      </w:r>
    </w:p>
    <w:p>
      <w:pPr>
        <w:spacing w:after="80"/>
      </w:pPr>
      <w:r>
        <w:rPr>
          <w:b w:val="0"/>
          <w:i w:val="0"/>
        </w:rPr>
        <w:t xml:space="preserve">(a) La </w:t>
      </w:r>
      <w:r>
        <w:rPr>
          <w:b/>
          <w:i w:val="0"/>
        </w:rPr>
        <w:t>prevenzione o il sollievo dalla povertà</w:t>
      </w:r>
      <w:r>
        <w:rPr>
          <w:b w:val="0"/>
          <w:i w:val="0"/>
        </w:rPr>
        <w:t xml:space="preserve"> ovunque nel mondo, in particolare ma non esclusivamente nella città di Atakpamé e nelle comunità circostanti in Togo, fornendo o assistendo nella fornitura di istruzione, formazione, progetti sanitari, cibo, abbigliamento, alloggio, assistenza finanziaria e ogni altro bene, servizio o struttura ritenuti necessari per persone in stato di bisogno, difficoltà o sofferenza — in particolare orfani, vedove, anziani, persone con disabilità e qualsiasi altro gruppo o individuo socialmente o economicamente vulnerabile;</w:t>
      </w:r>
    </w:p>
    <w:p>
      <w:pPr>
        <w:spacing w:after="80"/>
      </w:pPr>
      <w:r>
        <w:rPr>
          <w:b w:val="0"/>
          <w:i w:val="0"/>
        </w:rPr>
        <w:t xml:space="preserve">(b) La </w:t>
      </w:r>
      <w:r>
        <w:rPr>
          <w:b/>
          <w:i w:val="0"/>
        </w:rPr>
        <w:t>promozione dello sport amatoriale</w:t>
      </w:r>
      <w:r>
        <w:rPr>
          <w:b w:val="0"/>
          <w:i w:val="0"/>
        </w:rPr>
        <w:t>, in particolare ma non esclusivamente il calcio associativo, ovunque nel mondo, con un focus particolare sul sostegno agli ex giocatori del club Ifodjè d'Atakpamé (Togo) e ad altri sportivi amatoriali in pensione, mediante la fornitura di strutture, attrezzature, allenamento, assistenza medica, pensioni o benefici sociali, e promuovendo la partecipazione comunitaria al tempo libero sano.</w:t>
      </w:r>
    </w:p>
    <w:p>
      <w:pPr>
        <w:spacing w:after="80"/>
      </w:pPr>
      <w:r>
        <w:rPr>
          <w:b w:val="0"/>
          <w:i w:val="0"/>
        </w:rPr>
        <w:t>Nulla in questo statuto autorizza l'applicazione dei beni della CIO a scopi non caritativi ai sensi della section 2 del Charities Act 2011.</w:t>
      </w:r>
    </w:p>
    <w:p>
      <w:pPr>
        <w:spacing w:before="200" w:after="80"/>
      </w:pPr>
      <w:r>
        <w:rPr>
          <w:b/>
          <w:color w:val="004B87"/>
          <w:sz w:val="28"/>
        </w:rPr>
        <w:t>4. Poteri</w:t>
      </w:r>
    </w:p>
    <w:p>
      <w:pPr>
        <w:spacing w:after="80"/>
      </w:pPr>
      <w:r>
        <w:rPr>
          <w:b w:val="0"/>
          <w:i w:val="0"/>
        </w:rPr>
        <w:t>La CIO ha il potere di compiere tutto ciò che è idoneo a promuovere i suoi oggetti o ciò che ne è conducente o accessorio. In particolare:</w:t>
      </w:r>
    </w:p>
    <w:p>
      <w:pPr>
        <w:spacing w:after="60"/>
        <w:ind w:left="454"/>
      </w:pPr>
      <w:r>
        <w:rPr>
          <w:b w:val="0"/>
          <w:i w:val="0"/>
        </w:rPr>
        <w:t>(1) prendere in prestito denaro e gravare i propri beni a garanzia del rimborso;</w:t>
      </w:r>
    </w:p>
    <w:p>
      <w:pPr>
        <w:spacing w:after="60"/>
        <w:ind w:left="454"/>
      </w:pPr>
      <w:r>
        <w:rPr>
          <w:b w:val="0"/>
          <w:i w:val="0"/>
        </w:rPr>
        <w:t>(2) acquistare, affittare o ricevere in scambio beni e mantenerli per l'uso;</w:t>
      </w:r>
    </w:p>
    <w:p>
      <w:pPr>
        <w:spacing w:after="60"/>
        <w:ind w:left="454"/>
      </w:pPr>
      <w:r>
        <w:rPr>
          <w:b w:val="0"/>
          <w:i w:val="0"/>
        </w:rPr>
        <w:t>(3) vendere, affittare o disporre di tutti o parte dei beni della CIO;</w:t>
      </w:r>
    </w:p>
    <w:p>
      <w:pPr>
        <w:spacing w:after="60"/>
        <w:ind w:left="454"/>
      </w:pPr>
      <w:r>
        <w:rPr>
          <w:b w:val="0"/>
          <w:i w:val="0"/>
        </w:rPr>
        <w:t>(4) assumere e retribuire il personale necessario;</w:t>
      </w:r>
    </w:p>
    <w:p>
      <w:pPr>
        <w:spacing w:after="60"/>
        <w:ind w:left="454"/>
      </w:pPr>
      <w:r>
        <w:rPr>
          <w:b w:val="0"/>
          <w:i w:val="0"/>
        </w:rPr>
        <w:t>(5) depositare o investire fondi, nominare un gestore professionista e fare detenere gli investimenti a nome di un fiduciario.</w:t>
      </w:r>
    </w:p>
    <w:p>
      <w:pPr>
        <w:spacing w:before="200" w:after="80"/>
      </w:pPr>
      <w:r>
        <w:rPr>
          <w:b/>
          <w:color w:val="004B87"/>
          <w:sz w:val="28"/>
        </w:rPr>
        <w:t>5. Applicazione dei redditi e dei beni</w:t>
      </w:r>
    </w:p>
    <w:p>
      <w:pPr>
        <w:spacing w:after="60"/>
        <w:ind w:left="454"/>
      </w:pPr>
      <w:r>
        <w:rPr>
          <w:b w:val="0"/>
          <w:i w:val="0"/>
        </w:rPr>
        <w:t>(1) I redditi e i beni della CIO devono essere applicati esclusivamente alla promozione degli oggetti.</w:t>
      </w:r>
    </w:p>
    <w:p>
      <w:pPr>
        <w:spacing w:after="60"/>
        <w:ind w:left="454"/>
      </w:pPr>
      <w:r>
        <w:rPr>
          <w:b w:val="0"/>
          <w:i w:val="0"/>
        </w:rPr>
        <w:t>(2) Un amministratore ha diritto al rimborso delle spese ragionevoli sostenute nell'esercizio delle sue funzioni.</w:t>
      </w:r>
    </w:p>
    <w:p>
      <w:pPr>
        <w:spacing w:after="60"/>
        <w:ind w:left="454"/>
      </w:pPr>
      <w:r>
        <w:rPr>
          <w:b w:val="0"/>
          <w:i w:val="0"/>
        </w:rPr>
        <w:t>(3) Un amministratore può beneficiare di una copertura assicurativa di indennità trustee a spese della CIO.</w:t>
      </w:r>
    </w:p>
    <w:p>
      <w:pPr>
        <w:spacing w:after="60"/>
        <w:ind w:left="454"/>
      </w:pPr>
      <w:r>
        <w:rPr>
          <w:b w:val="0"/>
          <w:i w:val="0"/>
        </w:rPr>
        <w:t>(4) Nessun reddito o bene può essere pagato o trasferito direttamente o indirettamente sotto forma di dividendo, bonus o altro profitto a un membro o persona connessa, salvo nei casi specifici (beneficiario, vendita a condizioni eque, impiego, interessi ragionevoli, canone ragionevole, partecipazione alle normali attività di raccolta fondi).</w:t>
      </w:r>
    </w:p>
    <w:p>
      <w:pPr>
        <w:spacing w:after="60"/>
        <w:ind w:left="454"/>
      </w:pPr>
      <w:r>
        <w:rPr>
          <w:b w:val="0"/>
          <w:i w:val="0"/>
        </w:rPr>
        <w:t>(5) Nulla in questa clausola impedisce a un amministratore o persona connessa di ricevere un beneficio autorizzato dalla clausola 6.</w:t>
      </w:r>
    </w:p>
    <w:p>
      <w:pPr>
        <w:spacing w:before="200" w:after="80"/>
      </w:pPr>
      <w:r>
        <w:rPr>
          <w:b/>
          <w:color w:val="004B87"/>
          <w:sz w:val="28"/>
        </w:rPr>
        <w:t>6. Benefici e pagamenti agli amministratori e persone connesse</w:t>
      </w:r>
    </w:p>
    <w:p>
      <w:pPr>
        <w:spacing w:after="80"/>
      </w:pPr>
      <w:r>
        <w:rPr>
          <w:b w:val="0"/>
          <w:i/>
        </w:rPr>
        <w:t>Disposizioni generali</w:t>
      </w:r>
    </w:p>
    <w:p>
      <w:pPr>
        <w:spacing w:after="80"/>
      </w:pPr>
      <w:r>
        <w:rPr>
          <w:b w:val="0"/>
          <w:i w:val="0"/>
        </w:rPr>
        <w:t>Nessun amministratore o persona connessa può acquistare/ricevere beni o servizi a condizioni preferenziali, vendere alla CIO, esserne impiegato o ricevere altri benefici finanziari, salvo nei casi espressamente autorizzati dalla sottoclausola (2)(a)-(e) o dal tribunale o dalla Charity Commission.</w:t>
      </w:r>
    </w:p>
    <w:p>
      <w:pPr>
        <w:spacing w:after="60"/>
        <w:ind w:left="454"/>
      </w:pPr>
      <w:r>
        <w:rPr>
          <w:b w:val="0"/>
          <w:i w:val="0"/>
        </w:rPr>
        <w:t>(2)(a) Un amministratore può beneficiare della CIO come beneficiario, purché la maggioranza degli amministratori non ne benefici allo stesso modo.</w:t>
      </w:r>
    </w:p>
    <w:p>
      <w:pPr>
        <w:spacing w:after="60"/>
        <w:ind w:left="454"/>
      </w:pPr>
      <w:r>
        <w:rPr>
          <w:b w:val="0"/>
          <w:i w:val="0"/>
        </w:rPr>
        <w:t>(2)(b) Contratto di fornitura di beni/servizi conforme alle sezioni 185-188 del Charities Act 2011.</w:t>
      </w:r>
    </w:p>
    <w:p>
      <w:pPr>
        <w:spacing w:after="60"/>
        <w:ind w:left="454"/>
      </w:pPr>
      <w:r>
        <w:rPr>
          <w:b w:val="0"/>
          <w:i w:val="0"/>
        </w:rPr>
        <w:t>(2)(c) Interessi a tasso ragionevole su somme prestate alla CIO.</w:t>
      </w:r>
    </w:p>
    <w:p>
      <w:pPr>
        <w:spacing w:after="60"/>
        <w:ind w:left="454"/>
      </w:pPr>
      <w:r>
        <w:rPr>
          <w:b w:val="0"/>
          <w:i w:val="0"/>
        </w:rPr>
        <w:t>(2)(d) Canone per locali locati alla CIO (l'amministratore interessato si ritira dalle discussioni).</w:t>
      </w:r>
    </w:p>
    <w:p>
      <w:pPr>
        <w:spacing w:after="60"/>
        <w:ind w:left="454"/>
      </w:pPr>
      <w:r>
        <w:rPr>
          <w:b w:val="0"/>
          <w:i w:val="0"/>
        </w:rPr>
        <w:t>(2)(e) Partecipazione alle normali attività commerciali e di raccolta fondi alle stesse condizioni del pubblico.</w:t>
      </w:r>
    </w:p>
    <w:p>
      <w:pPr>
        <w:spacing w:before="200" w:after="80"/>
      </w:pPr>
      <w:r>
        <w:rPr>
          <w:b/>
          <w:color w:val="004B87"/>
          <w:sz w:val="28"/>
        </w:rPr>
        <w:t>7. Conflitti di interesse e di lealtà</w:t>
      </w:r>
    </w:p>
    <w:p>
      <w:pPr>
        <w:spacing w:after="80"/>
      </w:pPr>
      <w:r>
        <w:rPr>
          <w:b w:val="0"/>
          <w:i w:val="0"/>
        </w:rPr>
        <w:t>Ogni amministratore deve dichiarare la natura e l'estensione di qualsiasi interesse diretto o indiretto in una transazione proposta dalla CIO, e astenersi dalle discussioni e dai voti sull'argomento. Non sarà contato nel quorum.</w:t>
      </w:r>
    </w:p>
    <w:p>
      <w:pPr>
        <w:spacing w:before="200" w:after="80"/>
      </w:pPr>
      <w:r>
        <w:rPr>
          <w:b/>
          <w:color w:val="004B87"/>
          <w:sz w:val="28"/>
        </w:rPr>
        <w:t>8. Responsabilità dei membri in caso di scioglimento</w:t>
      </w:r>
    </w:p>
    <w:p>
      <w:pPr>
        <w:spacing w:after="80"/>
      </w:pPr>
      <w:r>
        <w:rPr>
          <w:b w:val="0"/>
          <w:i w:val="0"/>
        </w:rPr>
        <w:t xml:space="preserve">In caso di scioglimento, i membri della CIO </w:t>
      </w:r>
      <w:r>
        <w:rPr>
          <w:b/>
          <w:i w:val="0"/>
        </w:rPr>
        <w:t>non hanno alcuna responsabilità personale</w:t>
      </w:r>
      <w:r>
        <w:rPr>
          <w:b w:val="0"/>
          <w:i w:val="0"/>
        </w:rPr>
        <w:t xml:space="preserve"> per i debiti e le passività.</w:t>
      </w:r>
    </w:p>
    <w:p>
      <w:pPr>
        <w:spacing w:before="200" w:after="80"/>
      </w:pPr>
      <w:r>
        <w:rPr>
          <w:b/>
          <w:color w:val="004B87"/>
          <w:sz w:val="28"/>
        </w:rPr>
        <w:t>9. Adesione alla CIO</w:t>
      </w:r>
    </w:p>
    <w:p>
      <w:pPr>
        <w:spacing w:after="80"/>
      </w:pPr>
      <w:r>
        <w:rPr>
          <w:b w:val="0"/>
          <w:i/>
        </w:rPr>
        <w:t>Idoneità</w:t>
      </w:r>
      <w:r>
        <w:rPr>
          <w:b w:val="0"/>
          <w:i w:val="0"/>
        </w:rPr>
        <w:t xml:space="preserve"> — L'adesione è aperta a qualsiasi persona fisica di età pari o superiore a 18 anni, o a qualsiasi persona giuridica, interessata a promuovere gli scopi della CIO e che abbia accettato il dovere dei membri.</w:t>
      </w:r>
    </w:p>
    <w:p>
      <w:pPr>
        <w:spacing w:after="80"/>
      </w:pPr>
      <w:r>
        <w:rPr>
          <w:b w:val="0"/>
          <w:i/>
        </w:rPr>
        <w:t>Procedura di ammissione</w:t>
      </w:r>
      <w:r>
        <w:rPr>
          <w:b w:val="0"/>
          <w:i w:val="0"/>
        </w:rPr>
        <w:t xml:space="preserve"> — Gli amministratori possono richiedere una modalità di candidatura, notificare la loro decisione entro 21 giorni, rifiutare una candidatura nell'interesse della CIO (con motivazioni e diritto di ricorso).</w:t>
      </w:r>
    </w:p>
    <w:p>
      <w:pPr>
        <w:spacing w:after="80"/>
      </w:pPr>
      <w:r>
        <w:rPr>
          <w:b w:val="0"/>
          <w:i/>
        </w:rPr>
        <w:t>Trasferimento</w:t>
      </w:r>
      <w:r>
        <w:rPr>
          <w:b w:val="0"/>
          <w:i w:val="0"/>
        </w:rPr>
        <w:t xml:space="preserve"> — L'adesione non è trasferibile.</w:t>
      </w:r>
    </w:p>
    <w:p>
      <w:pPr>
        <w:spacing w:after="80"/>
      </w:pPr>
      <w:r>
        <w:rPr>
          <w:b w:val="0"/>
          <w:i/>
        </w:rPr>
        <w:t>Dovere dei membri</w:t>
      </w:r>
      <w:r>
        <w:rPr>
          <w:b w:val="0"/>
          <w:i w:val="0"/>
        </w:rPr>
        <w:t xml:space="preserve"> — Ogni membro esercita i suoi poteri in buona fede nel modo che ritiene più idoneo a promuovere gli scopi della CIO.</w:t>
      </w:r>
    </w:p>
    <w:p>
      <w:pPr>
        <w:spacing w:after="80"/>
      </w:pPr>
      <w:r>
        <w:rPr>
          <w:b w:val="0"/>
          <w:i/>
        </w:rPr>
        <w:t>Cessazione</w:t>
      </w:r>
      <w:r>
        <w:rPr>
          <w:b w:val="0"/>
          <w:i w:val="0"/>
        </w:rPr>
        <w:t xml:space="preserve"> — L'adesione cessa in caso di morte, dimissioni, mancato pagamento entro 6 mesi, o rimozione decisa dagli amministratori (con procedura in contraddittorio di 21 giorni).</w:t>
      </w:r>
    </w:p>
    <w:p>
      <w:pPr>
        <w:spacing w:after="80"/>
      </w:pPr>
      <w:r>
        <w:rPr>
          <w:b w:val="0"/>
          <w:i/>
        </w:rPr>
        <w:t>Quota associativa</w:t>
      </w:r>
      <w:r>
        <w:rPr>
          <w:b w:val="0"/>
          <w:i w:val="0"/>
        </w:rPr>
        <w:t xml:space="preserve"> — La CIO può richiedere una quota ragionevole.</w:t>
      </w:r>
    </w:p>
    <w:p>
      <w:pPr>
        <w:spacing w:before="200" w:after="80"/>
      </w:pPr>
      <w:r>
        <w:rPr>
          <w:b/>
          <w:color w:val="004B87"/>
          <w:sz w:val="28"/>
        </w:rPr>
        <w:t>10. Decisioni dei membri</w:t>
      </w:r>
    </w:p>
    <w:p>
      <w:pPr>
        <w:spacing w:after="80"/>
      </w:pPr>
      <w:r>
        <w:rPr>
          <w:b w:val="0"/>
          <w:i w:val="0"/>
        </w:rPr>
        <w:t>Le decisioni sono prese per voto in assemblea generale a maggioranza semplice, o per risoluzione scritta firmata dalla maggioranza semplice dei membri. Alcune decisioni (rimozione di un amministratore, modifica dello statuto, scioglimento) seguono regole specifiche (clausole 15, 28, 29).</w:t>
      </w:r>
    </w:p>
    <w:p>
      <w:pPr>
        <w:spacing w:before="200" w:after="80"/>
      </w:pPr>
      <w:r>
        <w:rPr>
          <w:b/>
          <w:color w:val="004B87"/>
          <w:sz w:val="28"/>
        </w:rPr>
        <w:t>11. Assemblee generali</w:t>
      </w:r>
    </w:p>
    <w:p>
      <w:pPr>
        <w:spacing w:after="80"/>
      </w:pPr>
      <w:r>
        <w:rPr>
          <w:b w:val="0"/>
          <w:i w:val="0"/>
        </w:rPr>
        <w:t xml:space="preserve">Deve esservi una </w:t>
      </w:r>
      <w:r>
        <w:rPr>
          <w:b/>
          <w:i w:val="0"/>
        </w:rPr>
        <w:t>assemblea generale annuale (AGM)</w:t>
      </w:r>
      <w:r>
        <w:rPr>
          <w:b w:val="0"/>
          <w:i w:val="0"/>
        </w:rPr>
        <w:t>, la prima entro 18 mesi dalla registrazione, poi ad intervalli massimi di 15 mesi.</w:t>
      </w:r>
    </w:p>
    <w:p>
      <w:pPr>
        <w:spacing w:after="80"/>
      </w:pPr>
      <w:r>
        <w:rPr>
          <w:b w:val="0"/>
          <w:i w:val="0"/>
        </w:rPr>
        <w:t>Convocazione: almeno 14 giorni franchi, dagli amministratori (o su richiesta di almeno il 10% dei membri).</w:t>
      </w:r>
    </w:p>
    <w:p>
      <w:pPr>
        <w:spacing w:after="80"/>
      </w:pPr>
      <w:r>
        <w:rPr>
          <w:b w:val="0"/>
          <w:i w:val="0"/>
        </w:rPr>
        <w:t>Quorum: il più alto tra il 5% o 3 membri.</w:t>
      </w:r>
    </w:p>
    <w:p>
      <w:pPr>
        <w:spacing w:after="80"/>
      </w:pPr>
      <w:r>
        <w:rPr>
          <w:b w:val="0"/>
          <w:i w:val="0"/>
        </w:rPr>
        <w:t>Votazione: per alzata di mano, maggioranza semplice, un voto per membro; voto decisivo del presidente in caso di parità.</w:t>
      </w:r>
    </w:p>
    <w:p>
      <w:pPr>
        <w:spacing w:before="200" w:after="80"/>
      </w:pPr>
      <w:r>
        <w:rPr>
          <w:b/>
          <w:color w:val="004B87"/>
          <w:sz w:val="28"/>
        </w:rPr>
        <w:t>12. Gli amministratori (trustees)</w:t>
      </w:r>
    </w:p>
    <w:p>
      <w:pPr>
        <w:spacing w:after="80"/>
      </w:pPr>
      <w:r>
        <w:rPr>
          <w:b w:val="0"/>
          <w:i w:val="0"/>
        </w:rPr>
        <w:t>Gli amministratori gestiscono gli affari della CIO ed esercitano tutti i suoi poteri. Ogni amministratore agisce in buona fede nell'interesse della CIO con la cura e la diligenza attese.</w:t>
      </w:r>
    </w:p>
    <w:p>
      <w:pPr>
        <w:spacing w:after="80"/>
      </w:pPr>
      <w:r>
        <w:rPr>
          <w:b w:val="0"/>
          <w:i/>
        </w:rPr>
        <w:t>Idoneità</w:t>
      </w:r>
      <w:r>
        <w:rPr>
          <w:b w:val="0"/>
          <w:i w:val="0"/>
        </w:rPr>
        <w:t xml:space="preserve"> — Persona fisica, età minima 16 anni, accettazione espressa, almeno un amministratore maggiorenne (18+).</w:t>
      </w:r>
    </w:p>
    <w:p>
      <w:pPr>
        <w:spacing w:after="80"/>
      </w:pPr>
      <w:r>
        <w:rPr>
          <w:b w:val="0"/>
          <w:i/>
        </w:rPr>
        <w:t>Numero</w:t>
      </w:r>
      <w:r>
        <w:rPr>
          <w:b w:val="0"/>
          <w:i w:val="0"/>
        </w:rPr>
        <w:t xml:space="preserve"> — Minimo 3, massimo 12.</w:t>
      </w:r>
    </w:p>
    <w:p>
      <w:pPr>
        <w:spacing w:after="80"/>
      </w:pPr>
      <w:r>
        <w:rPr>
          <w:b/>
          <w:i w:val="0"/>
        </w:rPr>
        <w:t>Primi amministratori:</w:t>
      </w:r>
    </w:p>
    <w:p>
      <w:pPr>
        <w:spacing w:after="60"/>
        <w:ind w:left="454"/>
      </w:pPr>
      <w:r>
        <w:rPr>
          <w:b w:val="0"/>
          <w:i w:val="0"/>
        </w:rPr>
        <w:t>• APEDO KOKOU OGNAKOTAN</w:t>
      </w:r>
    </w:p>
    <w:p>
      <w:pPr>
        <w:spacing w:after="60"/>
        <w:ind w:left="454"/>
      </w:pPr>
      <w:r>
        <w:rPr>
          <w:b w:val="0"/>
          <w:i w:val="0"/>
        </w:rPr>
        <w:t>• APEDO YAO</w:t>
      </w:r>
    </w:p>
    <w:p>
      <w:pPr>
        <w:spacing w:after="60"/>
        <w:ind w:left="454"/>
      </w:pPr>
      <w:r>
        <w:rPr>
          <w:b w:val="0"/>
          <w:i w:val="0"/>
        </w:rPr>
        <w:t>• APEDO ABLAVI</w:t>
      </w:r>
    </w:p>
    <w:p>
      <w:pPr>
        <w:spacing w:before="200" w:after="80"/>
      </w:pPr>
      <w:r>
        <w:rPr>
          <w:b/>
          <w:color w:val="004B87"/>
          <w:sz w:val="28"/>
        </w:rPr>
        <w:t>13. Nomina degli amministratori</w:t>
      </w:r>
    </w:p>
    <w:p>
      <w:pPr>
        <w:spacing w:after="80"/>
      </w:pPr>
      <w:r>
        <w:rPr>
          <w:b w:val="0"/>
          <w:i w:val="0"/>
        </w:rPr>
        <w:t>Alla prima AGM, tutti gli amministratori si dimettono. Nelle AGM successive, un terzo si dimette per rotazione (i più anziani). I posti vacanti possono essere coperti dai membri in AGM o dagli amministratori ad interim.</w:t>
      </w:r>
    </w:p>
    <w:p>
      <w:pPr>
        <w:spacing w:before="200" w:after="80"/>
      </w:pPr>
      <w:r>
        <w:rPr>
          <w:b/>
          <w:color w:val="004B87"/>
          <w:sz w:val="28"/>
        </w:rPr>
        <w:t>14. Informazione ai nuovi amministratori</w:t>
      </w:r>
    </w:p>
    <w:p>
      <w:pPr>
        <w:spacing w:after="80"/>
      </w:pPr>
      <w:r>
        <w:rPr>
          <w:b w:val="0"/>
          <w:i w:val="0"/>
        </w:rPr>
        <w:t>Gli amministratori consegnano a ogni nuovo amministratore, entro la sua nomina: copia del presente statuto e dei suoi emendamenti, nonché l'ultimo Rapporto annuale e bilancio della CIO.</w:t>
      </w:r>
    </w:p>
    <w:p>
      <w:pPr>
        <w:spacing w:before="200" w:after="80"/>
      </w:pPr>
      <w:r>
        <w:rPr>
          <w:b/>
          <w:color w:val="004B87"/>
          <w:sz w:val="28"/>
        </w:rPr>
        <w:t>15. Dimissioni e rimozione degli amministratori</w:t>
      </w:r>
    </w:p>
    <w:p>
      <w:pPr>
        <w:spacing w:after="80"/>
      </w:pPr>
      <w:r>
        <w:rPr>
          <w:b w:val="0"/>
          <w:i w:val="0"/>
        </w:rPr>
        <w:t>Un amministratore cessa dalle sue funzioni in caso di dimissioni scritte, assenza non autorizzata per 6 mesi, morte, incapacità medica, rimozione da parte dei membri (risoluzione a maggioranza dei due terzi dopo preavviso di 14 giorni) o squalifica legale.</w:t>
      </w:r>
    </w:p>
    <w:p>
      <w:pPr>
        <w:spacing w:before="200" w:after="80"/>
      </w:pPr>
      <w:r>
        <w:rPr>
          <w:b/>
          <w:color w:val="004B87"/>
          <w:sz w:val="28"/>
        </w:rPr>
        <w:t>16. Rinnovo del mandato</w:t>
      </w:r>
    </w:p>
    <w:p>
      <w:pPr>
        <w:spacing w:after="80"/>
      </w:pPr>
      <w:r>
        <w:rPr>
          <w:b w:val="0"/>
          <w:i w:val="0"/>
        </w:rPr>
        <w:t>Ogni amministratore uscente è rieleggibile.</w:t>
      </w:r>
    </w:p>
    <w:p>
      <w:pPr>
        <w:spacing w:before="200" w:after="80"/>
      </w:pPr>
      <w:r>
        <w:rPr>
          <w:b/>
          <w:color w:val="004B87"/>
          <w:sz w:val="28"/>
        </w:rPr>
        <w:t>17. Presa di decisione da parte degli amministratori</w:t>
      </w:r>
    </w:p>
    <w:p>
      <w:pPr>
        <w:spacing w:after="80"/>
      </w:pPr>
      <w:r>
        <w:rPr>
          <w:b w:val="0"/>
          <w:i w:val="0"/>
        </w:rPr>
        <w:t>Le decisioni possono essere prese in riunione o mediante risoluzione scritta/elettronica approvata dalla maggioranza di tutti gli amministratori.</w:t>
      </w:r>
    </w:p>
    <w:p>
      <w:pPr>
        <w:spacing w:before="200" w:after="80"/>
      </w:pPr>
      <w:r>
        <w:rPr>
          <w:b/>
          <w:color w:val="004B87"/>
          <w:sz w:val="28"/>
        </w:rPr>
        <w:t>18. Delega</w:t>
      </w:r>
    </w:p>
    <w:p>
      <w:pPr>
        <w:spacing w:after="80"/>
      </w:pPr>
      <w:r>
        <w:rPr>
          <w:b w:val="0"/>
          <w:i w:val="0"/>
        </w:rPr>
        <w:t>Gli amministratori possono delegare i loro poteri a comitati. Ogni comitato deve includere almeno un amministratore.</w:t>
      </w:r>
    </w:p>
    <w:p>
      <w:pPr>
        <w:spacing w:before="200" w:after="80"/>
      </w:pPr>
      <w:r>
        <w:rPr>
          <w:b/>
          <w:color w:val="004B87"/>
          <w:sz w:val="28"/>
        </w:rPr>
        <w:t>19. Riunioni degli amministratori</w:t>
      </w:r>
    </w:p>
    <w:p>
      <w:pPr>
        <w:spacing w:after="80"/>
      </w:pPr>
      <w:r>
        <w:rPr>
          <w:b w:val="0"/>
          <w:i w:val="0"/>
        </w:rPr>
        <w:t>Qualsiasi amministratore può convocare una riunione. Quorum: 2 amministratori o un terzo, il più alto. Maggioranza semplice. Voto decisivo del presidente. Riunioni elettroniche autorizzate.</w:t>
      </w:r>
    </w:p>
    <w:p>
      <w:pPr>
        <w:spacing w:before="200" w:after="80"/>
      </w:pPr>
      <w:r>
        <w:rPr>
          <w:b/>
          <w:color w:val="004B87"/>
          <w:sz w:val="28"/>
        </w:rPr>
        <w:t>20. Clausole di salvaguardia</w:t>
      </w:r>
    </w:p>
    <w:p>
      <w:pPr>
        <w:spacing w:after="80"/>
      </w:pPr>
      <w:r>
        <w:rPr>
          <w:b w:val="0"/>
          <w:i w:val="0"/>
        </w:rPr>
        <w:t>Le decisioni rimangono valide nonostante difetti tecnici (squalifica ignorata, conflitto non dichiarato...) se, senza quel voto, la decisione sarebbe stata presa a maggioranza in una riunione con quorum.</w:t>
      </w:r>
    </w:p>
    <w:p>
      <w:pPr>
        <w:spacing w:before="200" w:after="80"/>
      </w:pPr>
      <w:r>
        <w:rPr>
          <w:b/>
          <w:color w:val="004B87"/>
          <w:sz w:val="28"/>
        </w:rPr>
        <w:t>21. Esecuzione dei documenti</w:t>
      </w:r>
    </w:p>
    <w:p>
      <w:pPr>
        <w:spacing w:after="80"/>
      </w:pPr>
      <w:r>
        <w:rPr>
          <w:b w:val="0"/>
          <w:i w:val="0"/>
        </w:rPr>
        <w:t>La CIO esegue i suoi documenti mediante firma di almeno due amministratori, o mediante apposizione del suo sigillo, ove applicabile.</w:t>
      </w:r>
    </w:p>
    <w:p>
      <w:pPr>
        <w:spacing w:before="200" w:after="80"/>
      </w:pPr>
      <w:r>
        <w:rPr>
          <w:b/>
          <w:color w:val="004B87"/>
          <w:sz w:val="28"/>
        </w:rPr>
        <w:t>22. Comunicazioni elettroniche</w:t>
      </w:r>
    </w:p>
    <w:p>
      <w:pPr>
        <w:spacing w:after="80"/>
      </w:pPr>
      <w:r>
        <w:rPr>
          <w:b w:val="0"/>
          <w:i w:val="0"/>
        </w:rPr>
        <w:t>La CIO rispetta le disposizioni dei General Regulations 2012 sulla comunicazione elettronica, con consegna su richiesta di una copia cartacea entro 21 giorni.</w:t>
      </w:r>
    </w:p>
    <w:p>
      <w:pPr>
        <w:spacing w:before="200" w:after="80"/>
      </w:pPr>
      <w:r>
        <w:rPr>
          <w:b/>
          <w:color w:val="004B87"/>
          <w:sz w:val="28"/>
        </w:rPr>
        <w:t>23. Tenuta dei registri</w:t>
      </w:r>
    </w:p>
    <w:p>
      <w:pPr>
        <w:spacing w:after="80"/>
      </w:pPr>
      <w:r>
        <w:rPr>
          <w:b w:val="0"/>
          <w:i w:val="0"/>
        </w:rPr>
        <w:t>La CIO tiene un registro combinato dei suoi membri e dei suoi amministratori e ne consente l'accesso secondo i General Regulations.</w:t>
      </w:r>
    </w:p>
    <w:p>
      <w:pPr>
        <w:spacing w:before="200" w:after="80"/>
      </w:pPr>
      <w:r>
        <w:rPr>
          <w:b/>
          <w:color w:val="004B87"/>
          <w:sz w:val="28"/>
        </w:rPr>
        <w:t>24. Verbali</w:t>
      </w:r>
    </w:p>
    <w:p>
      <w:pPr>
        <w:spacing w:after="80"/>
      </w:pPr>
      <w:r>
        <w:rPr>
          <w:b w:val="0"/>
          <w:i w:val="0"/>
        </w:rPr>
        <w:t>Gli amministratori tengono il verbale di ogni nomina di funzionario, di ogni AG, di ogni riunione degli amministratori (nomi, decisioni, motivazioni) e di ogni decisione presa al di fuori delle riunioni.</w:t>
      </w:r>
    </w:p>
    <w:p>
      <w:pPr>
        <w:spacing w:before="200" w:after="80"/>
      </w:pPr>
      <w:r>
        <w:rPr>
          <w:b/>
          <w:color w:val="004B87"/>
          <w:sz w:val="28"/>
        </w:rPr>
        <w:t>25. Contabilità, rapporti annuali, registro</w:t>
      </w:r>
    </w:p>
    <w:p>
      <w:pPr>
        <w:spacing w:after="80"/>
      </w:pPr>
      <w:r>
        <w:rPr>
          <w:b w:val="0"/>
          <w:i w:val="0"/>
        </w:rPr>
        <w:t>Gli amministratori rispettano gli obblighi del Charities Act 2011 sulla tenuta della contabilità, i rapporti e le dichiarazioni. Qualsiasi modifica delle informazioni nel registro centrale è segnalata alla Commission entro 28 giorni.</w:t>
      </w:r>
    </w:p>
    <w:p>
      <w:pPr>
        <w:spacing w:before="200" w:after="80"/>
      </w:pPr>
      <w:r>
        <w:rPr>
          <w:b/>
          <w:color w:val="004B87"/>
          <w:sz w:val="28"/>
        </w:rPr>
        <w:t>26. Regolamento interno</w:t>
      </w:r>
    </w:p>
    <w:p>
      <w:pPr>
        <w:spacing w:after="80"/>
      </w:pPr>
      <w:r>
        <w:rPr>
          <w:b w:val="0"/>
          <w:i w:val="0"/>
        </w:rPr>
        <w:t>Gli amministratori possono adottare qualsiasi regolamento interno necessario, purché non sia contrario al presente statuto.</w:t>
      </w:r>
    </w:p>
    <w:p>
      <w:pPr>
        <w:spacing w:before="200" w:after="80"/>
      </w:pPr>
      <w:r>
        <w:rPr>
          <w:b/>
          <w:color w:val="004B87"/>
          <w:sz w:val="28"/>
        </w:rPr>
        <w:t>27. Controversie</w:t>
      </w:r>
    </w:p>
    <w:p>
      <w:pPr>
        <w:spacing w:after="80"/>
      </w:pPr>
      <w:r>
        <w:rPr>
          <w:b w:val="0"/>
          <w:i w:val="0"/>
        </w:rPr>
        <w:t>Qualsiasi controversia tra membri sulla validità o regolarità di un atto deve essere oggetto di un tentativo di mediazione in buona fede prima di qualsiasi ricorso contenzioso.</w:t>
      </w:r>
    </w:p>
    <w:p>
      <w:pPr>
        <w:spacing w:before="200" w:after="80"/>
      </w:pPr>
      <w:r>
        <w:rPr>
          <w:b/>
          <w:color w:val="004B87"/>
          <w:sz w:val="28"/>
        </w:rPr>
        <w:t>28. Modifica dello statuto</w:t>
      </w:r>
    </w:p>
    <w:p>
      <w:pPr>
        <w:spacing w:after="80"/>
      </w:pPr>
      <w:r>
        <w:rPr>
          <w:b w:val="0"/>
          <w:i w:val="0"/>
        </w:rPr>
        <w:t>Lo statuto può essere modificato solo per risoluzione scritta unanime dei membri o per risoluzione adottata a maggioranza del 75% in AG. Le modifiche riguardanti gli oggetti, la devoluzione dei beni in caso di scioglimento, o i vantaggi degli amministratori, richiedono il consenso scritto preventivo della Commission. Ogni modifica deve essere trasmessa alla Commission entro 15 giorni.</w:t>
      </w:r>
    </w:p>
    <w:p>
      <w:pPr>
        <w:spacing w:before="200" w:after="80"/>
      </w:pPr>
      <w:r>
        <w:rPr>
          <w:b/>
          <w:color w:val="004B87"/>
          <w:sz w:val="28"/>
        </w:rPr>
        <w:t>29. Scioglimento volontario</w:t>
      </w:r>
    </w:p>
    <w:p>
      <w:pPr>
        <w:spacing w:after="80"/>
      </w:pPr>
      <w:r>
        <w:rPr>
          <w:b w:val="0"/>
          <w:i w:val="0"/>
        </w:rPr>
        <w:t>Lo scioglimento è deciso in AG convocata con 14 giorni di preavviso, mediante risoluzione al 75% o risoluzione scritta unanime. Dopo il pagamento dei debiti, i beni residui devono essere destinati a scopi caritativi simili a quelli della CIO. Gli amministratori devono rispettare i Dissolution Regulations 2012 per la cancellazione dal registro.</w:t>
      </w:r>
    </w:p>
    <w:p>
      <w:pPr>
        <w:spacing w:before="200" w:after="80"/>
      </w:pPr>
      <w:r>
        <w:rPr>
          <w:b/>
          <w:color w:val="004B87"/>
          <w:sz w:val="28"/>
        </w:rPr>
        <w:t>30. Interpretazione</w:t>
      </w:r>
    </w:p>
    <w:p>
      <w:pPr>
        <w:spacing w:after="80"/>
      </w:pPr>
      <w:r>
        <w:rPr>
          <w:b/>
          <w:i w:val="0"/>
        </w:rPr>
        <w:t>« Persona connessa »</w:t>
      </w:r>
      <w:r>
        <w:rPr>
          <w:b w:val="0"/>
          <w:i w:val="0"/>
        </w:rPr>
        <w:t>: figlio, genitore, nonno, nipote, fratello o sorella, coniuge/partner civile, socio in affari, istituzione controllata, società in cui la persona ha un interesse sostanziale.</w:t>
      </w:r>
    </w:p>
    <w:p>
      <w:pPr>
        <w:spacing w:after="80"/>
      </w:pPr>
      <w:r>
        <w:rPr>
          <w:b/>
          <w:i w:val="0"/>
        </w:rPr>
        <w:t>« General Regulations »</w:t>
      </w:r>
      <w:r>
        <w:rPr>
          <w:b w:val="0"/>
          <w:i w:val="0"/>
        </w:rPr>
        <w:t>: i Charitable Incorporated Organisations (General) Regulations 2012.</w:t>
      </w:r>
    </w:p>
    <w:p>
      <w:pPr>
        <w:spacing w:after="80"/>
      </w:pPr>
      <w:r>
        <w:rPr>
          <w:b/>
          <w:i w:val="0"/>
        </w:rPr>
        <w:t>« Dissolution Regulations »</w:t>
      </w:r>
      <w:r>
        <w:rPr>
          <w:b w:val="0"/>
          <w:i w:val="0"/>
        </w:rPr>
        <w:t>: i Charitable Incorporated Organisations (Insolvency and Dissolution) Regulations 2012.</w:t>
      </w:r>
    </w:p>
    <w:p>
      <w:pPr>
        <w:spacing w:after="80"/>
      </w:pPr>
      <w:r>
        <w:rPr>
          <w:b/>
          <w:i w:val="0"/>
        </w:rPr>
        <w:t>« Amministratore » (charity trustee)</w:t>
      </w:r>
      <w:r>
        <w:rPr>
          <w:b w:val="0"/>
          <w:i w:val="0"/>
        </w:rPr>
        <w:t>: un amministratore della CIO.</w:t>
      </w:r>
    </w:p>
    <w:p>
      <w:pPr>
        <w:spacing w:before="280"/>
      </w:pPr>
      <w:r>
        <w:rPr>
          <w:b/>
          <w:color w:val="004B87"/>
          <w:sz w:val="28"/>
        </w:rPr>
        <w:t>Adozione dello statuto</w:t>
      </w:r>
    </w:p>
    <w:p>
      <w:r>
        <w:t>Il presente statuto è stato adottato alla data indicata di seguito dalle persone le cui firme figurano qui sotto. Queste persone sono i primi amministratori (trustees) della CIO.</w:t>
      </w:r>
    </w:p>
    <w:p>
      <w:pPr>
        <w:spacing w:before="360"/>
      </w:pPr>
      <w:r>
        <w:rPr>
          <w:b/>
        </w:rPr>
        <w:t>Nome: APEDO KOKOU OGNAKOTAN</w:t>
      </w:r>
    </w:p>
    <w:p>
      <w:r>
        <w:t>Firma: _________________________________        Data: __________________</w:t>
      </w:r>
    </w:p>
    <w:p>
      <w:pPr>
        <w:spacing w:before="360"/>
      </w:pPr>
      <w:r>
        <w:rPr>
          <w:b/>
        </w:rPr>
        <w:t>Nome: APEDO YAO</w:t>
      </w:r>
    </w:p>
    <w:p>
      <w:r>
        <w:t>Firma: _________________________________        Data: __________________</w:t>
      </w:r>
    </w:p>
    <w:p>
      <w:pPr>
        <w:spacing w:before="360"/>
      </w:pPr>
      <w:r>
        <w:rPr>
          <w:b/>
        </w:rPr>
        <w:t>Nome: APEDO ABLAVI</w:t>
      </w:r>
    </w:p>
    <w:p>
      <w:r>
        <w:t>Firma: _________________________________        Data: __________________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